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C9" w:rsidRDefault="004C17C9" w:rsidP="004C17C9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54E72797" wp14:editId="42E6BA00">
            <wp:extent cx="5524268" cy="516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26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C9" w:rsidRDefault="004C17C9"/>
    <w:p w:rsidR="004C17C9" w:rsidRPr="004C17C9" w:rsidRDefault="004C17C9" w:rsidP="004C17C9">
      <w:pPr>
        <w:rPr>
          <w:b/>
          <w:color w:val="222A35" w:themeColor="text2" w:themeShade="80"/>
          <w:sz w:val="28"/>
          <w:szCs w:val="28"/>
        </w:rPr>
      </w:pPr>
      <w:r w:rsidRPr="004C17C9">
        <w:rPr>
          <w:b/>
          <w:color w:val="222A35" w:themeColor="text2" w:themeShade="80"/>
          <w:sz w:val="28"/>
          <w:szCs w:val="28"/>
        </w:rPr>
        <w:t>Budget Submission Checklist</w:t>
      </w:r>
    </w:p>
    <w:p w:rsidR="004C17C9" w:rsidRPr="004C17C9" w:rsidRDefault="004C17C9" w:rsidP="004C17C9">
      <w:pPr>
        <w:rPr>
          <w:i/>
          <w:sz w:val="19"/>
          <w:szCs w:val="19"/>
        </w:rPr>
      </w:pPr>
      <w:r w:rsidRPr="004C17C9">
        <w:rPr>
          <w:i/>
          <w:sz w:val="19"/>
          <w:szCs w:val="19"/>
        </w:rPr>
        <w:t>Before submitting your Organization's budget to the Office of Budget &amp; Planning, please verify the below items have been completed. Only the lead BC Processor should be submitting the budget for the Organization.</w:t>
      </w:r>
    </w:p>
    <w:p w:rsidR="004C17C9" w:rsidRDefault="004C17C9"/>
    <w:p w:rsidR="004C17C9" w:rsidRDefault="00D838AC" w:rsidP="00622449">
      <w:pPr>
        <w:pStyle w:val="TableParagraph"/>
        <w:ind w:left="0"/>
        <w:rPr>
          <w:sz w:val="21"/>
        </w:rPr>
      </w:pPr>
      <w:sdt>
        <w:sdtPr>
          <w:rPr>
            <w:rFonts w:ascii="MS Gothic" w:eastAsia="MS Gothic" w:hAnsi="MS Gothic"/>
          </w:rPr>
          <w:id w:val="-152901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9B">
            <w:rPr>
              <w:rFonts w:ascii="MS Gothic" w:eastAsia="MS Gothic" w:hAnsi="MS Gothic" w:hint="eastAsia"/>
            </w:rPr>
            <w:t>☐</w:t>
          </w:r>
        </w:sdtContent>
      </w:sdt>
      <w:r w:rsidR="004C17C9">
        <w:rPr>
          <w:rFonts w:ascii="MS Gothic" w:eastAsia="MS Gothic" w:hAnsi="MS Gothic"/>
        </w:rPr>
        <w:tab/>
      </w:r>
      <w:r w:rsidR="004C17C9">
        <w:rPr>
          <w:sz w:val="21"/>
        </w:rPr>
        <w:t>Requested amount of object code 4100/4101 within Organization matches control totals</w:t>
      </w:r>
    </w:p>
    <w:p w:rsidR="004C17C9" w:rsidRDefault="004C17C9" w:rsidP="00622449">
      <w:pPr>
        <w:pStyle w:val="TableParagraph"/>
        <w:ind w:left="720"/>
        <w:rPr>
          <w:i/>
          <w:sz w:val="17"/>
        </w:rPr>
      </w:pPr>
      <w:r>
        <w:rPr>
          <w:i/>
          <w:w w:val="105"/>
          <w:sz w:val="17"/>
        </w:rPr>
        <w:t>The amount of permanent 2 Ledger funding given to an Organization cannot exceed the amount loaded by Budget &amp; Planning.</w:t>
      </w:r>
    </w:p>
    <w:p w:rsidR="004C17C9" w:rsidRDefault="004C17C9" w:rsidP="004C17C9">
      <w:pPr>
        <w:pStyle w:val="TableParagraph"/>
        <w:ind w:left="0"/>
        <w:rPr>
          <w:rFonts w:asciiTheme="minorHAnsi" w:eastAsiaTheme="minorHAnsi" w:hAnsiTheme="minorHAnsi" w:cstheme="minorBidi"/>
        </w:rPr>
      </w:pPr>
    </w:p>
    <w:p w:rsidR="004C17C9" w:rsidRPr="004C17C9" w:rsidRDefault="00D838AC" w:rsidP="004C17C9">
      <w:pPr>
        <w:pStyle w:val="TableParagraph"/>
        <w:ind w:left="0"/>
        <w:rPr>
          <w:sz w:val="21"/>
        </w:rPr>
      </w:pPr>
      <w:sdt>
        <w:sdtPr>
          <w:id w:val="28346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9B">
            <w:rPr>
              <w:rFonts w:ascii="MS Gothic" w:eastAsia="MS Gothic" w:hAnsi="MS Gothic" w:hint="eastAsia"/>
            </w:rPr>
            <w:t>☐</w:t>
          </w:r>
        </w:sdtContent>
      </w:sdt>
      <w:r w:rsidR="004C17C9">
        <w:t xml:space="preserve"> </w:t>
      </w:r>
      <w:r w:rsidR="004C17C9">
        <w:tab/>
      </w:r>
      <w:r w:rsidR="004C17C9" w:rsidRPr="004C17C9">
        <w:rPr>
          <w:sz w:val="21"/>
        </w:rPr>
        <w:t xml:space="preserve">Transfers </w:t>
      </w:r>
      <w:r w:rsidR="004C17C9" w:rsidRPr="004C17C9">
        <w:rPr>
          <w:sz w:val="21"/>
          <w:u w:val="single"/>
        </w:rPr>
        <w:t>within</w:t>
      </w:r>
      <w:r w:rsidR="004C17C9" w:rsidRPr="004C17C9">
        <w:rPr>
          <w:sz w:val="21"/>
        </w:rPr>
        <w:t xml:space="preserve"> the Organization (School/College/Unit) net to zero</w:t>
      </w:r>
    </w:p>
    <w:p w:rsidR="004C17C9" w:rsidRPr="004C17C9" w:rsidRDefault="004C17C9" w:rsidP="00622449">
      <w:pPr>
        <w:widowControl w:val="0"/>
        <w:autoSpaceDE w:val="0"/>
        <w:autoSpaceDN w:val="0"/>
        <w:spacing w:after="0" w:line="240" w:lineRule="auto"/>
        <w:ind w:left="739"/>
        <w:rPr>
          <w:rFonts w:ascii="Calibri" w:eastAsia="Calibri" w:hAnsi="Calibri" w:cs="Calibri"/>
          <w:i/>
          <w:sz w:val="17"/>
        </w:rPr>
      </w:pPr>
      <w:r w:rsidRPr="004C17C9">
        <w:rPr>
          <w:rFonts w:ascii="Calibri" w:eastAsia="Calibri" w:hAnsi="Calibri" w:cs="Calibri"/>
          <w:i/>
          <w:w w:val="105"/>
          <w:sz w:val="17"/>
        </w:rPr>
        <w:t>Reminder: Instead of transferring permanent funds within your 2L accounts, the allocation of 4100/4101 funds can be used.</w:t>
      </w:r>
    </w:p>
    <w:p w:rsidR="004C17C9" w:rsidRDefault="004C17C9" w:rsidP="004C17C9">
      <w:pPr>
        <w:pStyle w:val="TableParagraph"/>
        <w:ind w:left="0"/>
      </w:pPr>
    </w:p>
    <w:p w:rsidR="004C17C9" w:rsidRDefault="00D838AC" w:rsidP="00D838AC">
      <w:pPr>
        <w:pStyle w:val="TableParagraph"/>
        <w:ind w:left="720" w:hanging="720"/>
        <w:rPr>
          <w:sz w:val="21"/>
        </w:rPr>
      </w:pPr>
      <w:sdt>
        <w:sdtPr>
          <w:id w:val="-210849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C17C9">
        <w:tab/>
      </w:r>
      <w:r w:rsidR="004C17C9">
        <w:rPr>
          <w:sz w:val="21"/>
        </w:rPr>
        <w:t xml:space="preserve">Transfers </w:t>
      </w:r>
      <w:r w:rsidR="004C17C9">
        <w:rPr>
          <w:sz w:val="21"/>
          <w:u w:val="single"/>
        </w:rPr>
        <w:t>external</w:t>
      </w:r>
      <w:r w:rsidR="004C17C9" w:rsidRPr="00C06336">
        <w:rPr>
          <w:sz w:val="21"/>
        </w:rPr>
        <w:t xml:space="preserve"> </w:t>
      </w:r>
      <w:r w:rsidR="004C17C9">
        <w:rPr>
          <w:sz w:val="21"/>
        </w:rPr>
        <w:t xml:space="preserve">to </w:t>
      </w:r>
      <w:r>
        <w:rPr>
          <w:sz w:val="21"/>
        </w:rPr>
        <w:t xml:space="preserve">Organization have been listed on the </w:t>
      </w:r>
      <w:r w:rsidR="004C17C9">
        <w:rPr>
          <w:sz w:val="21"/>
        </w:rPr>
        <w:t>Transfer Reconciliation Spreadsheet</w:t>
      </w:r>
      <w:r>
        <w:rPr>
          <w:sz w:val="21"/>
        </w:rPr>
        <w:t>, and object code totals tie to budget construction submission</w:t>
      </w:r>
    </w:p>
    <w:p w:rsidR="004C17C9" w:rsidRDefault="004C17C9" w:rsidP="00622449">
      <w:pPr>
        <w:pStyle w:val="TableParagraph"/>
        <w:ind w:left="739"/>
        <w:rPr>
          <w:i/>
          <w:w w:val="105"/>
          <w:sz w:val="17"/>
        </w:rPr>
      </w:pPr>
      <w:r>
        <w:rPr>
          <w:i/>
          <w:w w:val="105"/>
          <w:sz w:val="17"/>
        </w:rPr>
        <w:t>Only one Transfer Reconciliation Form should be submitted per Organization.</w:t>
      </w:r>
    </w:p>
    <w:p w:rsidR="004C17C9" w:rsidRPr="004C17C9" w:rsidRDefault="004C17C9" w:rsidP="004C17C9">
      <w:pPr>
        <w:pStyle w:val="TableParagraph"/>
        <w:ind w:left="739"/>
        <w:rPr>
          <w:i/>
          <w:sz w:val="17"/>
        </w:rPr>
      </w:pPr>
    </w:p>
    <w:p w:rsidR="004C17C9" w:rsidRDefault="00D838AC" w:rsidP="004C17C9">
      <w:pPr>
        <w:pStyle w:val="TableParagraph"/>
        <w:spacing w:before="111"/>
        <w:ind w:left="0"/>
        <w:rPr>
          <w:sz w:val="21"/>
        </w:rPr>
      </w:pPr>
      <w:sdt>
        <w:sdtPr>
          <w:id w:val="10143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7C9">
            <w:rPr>
              <w:rFonts w:ascii="MS Gothic" w:eastAsia="MS Gothic" w:hAnsi="MS Gothic" w:hint="eastAsia"/>
            </w:rPr>
            <w:t>☐</w:t>
          </w:r>
        </w:sdtContent>
      </w:sdt>
      <w:r w:rsidR="004C17C9" w:rsidRPr="004C17C9">
        <w:rPr>
          <w:sz w:val="21"/>
        </w:rPr>
        <w:t xml:space="preserve"> </w:t>
      </w:r>
      <w:r w:rsidR="004C17C9">
        <w:rPr>
          <w:sz w:val="21"/>
        </w:rPr>
        <w:tab/>
        <w:t>A beginning of year projected Fund Balance has been entered for each fund source</w:t>
      </w:r>
    </w:p>
    <w:p w:rsidR="004C17C9" w:rsidRDefault="004C17C9" w:rsidP="004C17C9">
      <w:pPr>
        <w:spacing w:after="0"/>
        <w:ind w:left="720"/>
        <w:rPr>
          <w:i/>
          <w:iCs/>
          <w:sz w:val="17"/>
          <w:szCs w:val="17"/>
        </w:rPr>
      </w:pPr>
      <w:r w:rsidRPr="00A23EE9">
        <w:rPr>
          <w:i/>
          <w:iCs/>
          <w:sz w:val="17"/>
          <w:szCs w:val="17"/>
        </w:rPr>
        <w:t xml:space="preserve">Projected Beginning Fund Balance amount must be entered into </w:t>
      </w:r>
      <w:r>
        <w:rPr>
          <w:i/>
          <w:iCs/>
          <w:sz w:val="17"/>
          <w:szCs w:val="17"/>
        </w:rPr>
        <w:t xml:space="preserve">at least </w:t>
      </w:r>
      <w:r w:rsidRPr="00A23EE9">
        <w:rPr>
          <w:i/>
          <w:iCs/>
          <w:sz w:val="17"/>
          <w:szCs w:val="17"/>
        </w:rPr>
        <w:t xml:space="preserve">one account </w:t>
      </w:r>
      <w:r w:rsidR="00333244">
        <w:rPr>
          <w:i/>
          <w:iCs/>
          <w:sz w:val="17"/>
          <w:szCs w:val="17"/>
        </w:rPr>
        <w:t xml:space="preserve">for each fund source </w:t>
      </w:r>
      <w:r w:rsidRPr="00A23EE9">
        <w:rPr>
          <w:i/>
          <w:iCs/>
          <w:sz w:val="17"/>
          <w:szCs w:val="17"/>
        </w:rPr>
        <w:t xml:space="preserve">for each Organization. Please use the “UCONN Organization Account Ending Fund Balance” report to verify that your Unit, in aggregate, is not projected to end in a deficit position. </w:t>
      </w:r>
    </w:p>
    <w:p w:rsidR="004C17C9" w:rsidRPr="004C17C9" w:rsidRDefault="004C17C9" w:rsidP="004C17C9">
      <w:pPr>
        <w:spacing w:after="0"/>
        <w:ind w:left="720"/>
        <w:rPr>
          <w:i/>
          <w:iCs/>
          <w:sz w:val="17"/>
          <w:szCs w:val="17"/>
        </w:rPr>
      </w:pPr>
    </w:p>
    <w:p w:rsidR="004C17C9" w:rsidRDefault="00D838AC" w:rsidP="004C17C9">
      <w:pPr>
        <w:pStyle w:val="TableParagraph"/>
        <w:ind w:left="720" w:hanging="720"/>
        <w:rPr>
          <w:i/>
          <w:iCs/>
          <w:sz w:val="17"/>
          <w:szCs w:val="17"/>
        </w:rPr>
      </w:pPr>
      <w:sdt>
        <w:sdtPr>
          <w:id w:val="-798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7C9">
            <w:rPr>
              <w:rFonts w:ascii="MS Gothic" w:eastAsia="MS Gothic" w:hAnsi="MS Gothic" w:hint="eastAsia"/>
            </w:rPr>
            <w:t>☐</w:t>
          </w:r>
        </w:sdtContent>
      </w:sdt>
      <w:r w:rsidR="004C17C9">
        <w:tab/>
      </w:r>
      <w:r w:rsidR="004C17C9">
        <w:rPr>
          <w:sz w:val="21"/>
        </w:rPr>
        <w:t>Accounts are not in deficit</w:t>
      </w:r>
      <w:r w:rsidR="004C17C9">
        <w:rPr>
          <w:sz w:val="21"/>
        </w:rPr>
        <w:br/>
      </w:r>
      <w:proofErr w:type="gramStart"/>
      <w:r w:rsidR="004C17C9" w:rsidRPr="007456A6">
        <w:rPr>
          <w:i/>
          <w:iCs/>
          <w:sz w:val="17"/>
          <w:szCs w:val="17"/>
        </w:rPr>
        <w:t>All</w:t>
      </w:r>
      <w:proofErr w:type="gramEnd"/>
      <w:r w:rsidR="004C17C9" w:rsidRPr="007456A6">
        <w:rPr>
          <w:i/>
          <w:iCs/>
          <w:sz w:val="17"/>
          <w:szCs w:val="17"/>
        </w:rPr>
        <w:t xml:space="preserve"> accounts should be projected to end with a balance greater than or equal to $0. However, the budgeting </w:t>
      </w:r>
      <w:r w:rsidR="004C17C9" w:rsidRPr="004C17C9">
        <w:rPr>
          <w:b/>
          <w:i/>
          <w:iCs/>
          <w:sz w:val="17"/>
          <w:szCs w:val="17"/>
        </w:rPr>
        <w:t>requirement</w:t>
      </w:r>
      <w:r w:rsidR="004C17C9" w:rsidRPr="007456A6">
        <w:rPr>
          <w:i/>
          <w:iCs/>
          <w:sz w:val="17"/>
          <w:szCs w:val="17"/>
        </w:rPr>
        <w:t xml:space="preserve"> is for each subfund, in aggregate, to be projected to end with a balance greater than or equal to $0. Please note that at year end, all actual deficits in individual accounts are required to be funded.</w:t>
      </w:r>
    </w:p>
    <w:p w:rsidR="004C17C9" w:rsidRPr="004C17C9" w:rsidRDefault="004C17C9" w:rsidP="004C17C9">
      <w:pPr>
        <w:pStyle w:val="TableParagraph"/>
        <w:ind w:left="720" w:hanging="720"/>
        <w:rPr>
          <w:sz w:val="16"/>
          <w:szCs w:val="16"/>
        </w:rPr>
      </w:pPr>
    </w:p>
    <w:p w:rsidR="004C17C9" w:rsidRDefault="00D838AC" w:rsidP="00622449">
      <w:pPr>
        <w:pStyle w:val="TableParagraph"/>
        <w:ind w:left="0"/>
        <w:rPr>
          <w:sz w:val="21"/>
        </w:rPr>
      </w:pPr>
      <w:sdt>
        <w:sdtPr>
          <w:id w:val="134851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7C9">
            <w:rPr>
              <w:rFonts w:ascii="MS Gothic" w:eastAsia="MS Gothic" w:hAnsi="MS Gothic" w:hint="eastAsia"/>
            </w:rPr>
            <w:t>☐</w:t>
          </w:r>
        </w:sdtContent>
      </w:sdt>
      <w:r w:rsidR="004C17C9" w:rsidRPr="004C17C9">
        <w:rPr>
          <w:sz w:val="21"/>
        </w:rPr>
        <w:t xml:space="preserve"> </w:t>
      </w:r>
      <w:r w:rsidR="004C17C9">
        <w:rPr>
          <w:sz w:val="21"/>
        </w:rPr>
        <w:tab/>
        <w:t>All 2PLGs have been deleted on all accounts</w:t>
      </w:r>
    </w:p>
    <w:p w:rsidR="004C17C9" w:rsidRDefault="004C17C9" w:rsidP="004C17C9">
      <w:pPr>
        <w:pStyle w:val="TableParagraph"/>
        <w:spacing w:before="77"/>
        <w:ind w:left="740"/>
        <w:rPr>
          <w:i/>
          <w:w w:val="105"/>
          <w:sz w:val="17"/>
        </w:rPr>
      </w:pPr>
      <w:r>
        <w:rPr>
          <w:i/>
          <w:w w:val="105"/>
          <w:sz w:val="17"/>
        </w:rPr>
        <w:t>Use the "List 2PLG" report. Each BC document on report will need to be opened in order to delete the 2PLG.</w:t>
      </w:r>
    </w:p>
    <w:p w:rsidR="004C17C9" w:rsidRPr="004C17C9" w:rsidRDefault="004C17C9" w:rsidP="004C17C9">
      <w:pPr>
        <w:pStyle w:val="TableParagraph"/>
        <w:ind w:left="740"/>
        <w:rPr>
          <w:i/>
          <w:sz w:val="17"/>
        </w:rPr>
      </w:pPr>
    </w:p>
    <w:p w:rsidR="004C17C9" w:rsidRDefault="00D838AC" w:rsidP="00622449">
      <w:pPr>
        <w:pStyle w:val="TableParagraph"/>
        <w:ind w:left="0"/>
        <w:rPr>
          <w:sz w:val="21"/>
        </w:rPr>
      </w:pPr>
      <w:sdt>
        <w:sdtPr>
          <w:id w:val="-122128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7C9">
            <w:rPr>
              <w:rFonts w:ascii="MS Gothic" w:eastAsia="MS Gothic" w:hAnsi="MS Gothic" w:hint="eastAsia"/>
            </w:rPr>
            <w:t>☐</w:t>
          </w:r>
        </w:sdtContent>
      </w:sdt>
      <w:r w:rsidR="004C17C9" w:rsidRPr="004C17C9">
        <w:rPr>
          <w:sz w:val="21"/>
        </w:rPr>
        <w:t xml:space="preserve"> </w:t>
      </w:r>
      <w:r w:rsidR="004C17C9">
        <w:rPr>
          <w:sz w:val="21"/>
        </w:rPr>
        <w:tab/>
        <w:t>Explanation of significant variances from the prior year</w:t>
      </w:r>
    </w:p>
    <w:p w:rsidR="004C17C9" w:rsidRDefault="004C17C9" w:rsidP="00622449">
      <w:pPr>
        <w:pStyle w:val="TableParagraph"/>
        <w:ind w:left="740"/>
        <w:rPr>
          <w:i/>
          <w:sz w:val="17"/>
        </w:rPr>
      </w:pPr>
      <w:r>
        <w:rPr>
          <w:i/>
          <w:w w:val="105"/>
          <w:sz w:val="17"/>
        </w:rPr>
        <w:t>This can be submitted to Budget &amp; Planning via email</w:t>
      </w:r>
    </w:p>
    <w:p w:rsidR="004C17C9" w:rsidRDefault="004C17C9"/>
    <w:sectPr w:rsidR="004C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C9"/>
    <w:rsid w:val="001C2EFF"/>
    <w:rsid w:val="0025069B"/>
    <w:rsid w:val="00333244"/>
    <w:rsid w:val="004C17C9"/>
    <w:rsid w:val="00503C26"/>
    <w:rsid w:val="00622449"/>
    <w:rsid w:val="00B80133"/>
    <w:rsid w:val="00D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BA77"/>
  <w15:chartTrackingRefBased/>
  <w15:docId w15:val="{F03593DE-C319-4A72-B414-D26F298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17C9"/>
    <w:pPr>
      <w:widowControl w:val="0"/>
      <w:autoSpaceDE w:val="0"/>
      <w:autoSpaceDN w:val="0"/>
      <w:spacing w:after="0" w:line="240" w:lineRule="auto"/>
      <w:ind w:left="74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Kayla</dc:creator>
  <cp:keywords/>
  <dc:description/>
  <cp:lastModifiedBy>Burgess, Kayla</cp:lastModifiedBy>
  <cp:revision>5</cp:revision>
  <dcterms:created xsi:type="dcterms:W3CDTF">2019-01-21T17:32:00Z</dcterms:created>
  <dcterms:modified xsi:type="dcterms:W3CDTF">2019-03-27T15:27:00Z</dcterms:modified>
</cp:coreProperties>
</file>